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E0" w:rsidRDefault="005D76F2">
      <w:r>
        <w:t>Study Guide</w:t>
      </w:r>
    </w:p>
    <w:p w:rsidR="005D76F2" w:rsidRDefault="005D76F2">
      <w:r>
        <w:t>Consumer Behavior</w:t>
      </w:r>
    </w:p>
    <w:p w:rsidR="005D76F2" w:rsidRDefault="005D76F2">
      <w:r>
        <w:t xml:space="preserve">Chapters 9, </w:t>
      </w:r>
      <w:r w:rsidR="00D643A5">
        <w:t xml:space="preserve">10, </w:t>
      </w:r>
      <w:r>
        <w:t>11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Three stages related to purchase and postpurchase activities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Antecedent State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Purchase Environment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Post purchase process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What does the day reconstruction method study, how is it performed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Co-consumer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Density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Crowding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Four dimensions of time and description (social, temporal orientation, planning orientation, polychromic)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Define 5 perspectives on time (women)  Pressure cooker, Map, Mirror, River, Feast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Cultural perspectives on time:  Linear, procedural, circular or cyclic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Queing theory</w:t>
      </w:r>
    </w:p>
    <w:p w:rsidR="005D76F2" w:rsidRDefault="005D76F2" w:rsidP="005D76F2">
      <w:pPr>
        <w:pStyle w:val="ListParagraph"/>
        <w:numPr>
          <w:ilvl w:val="0"/>
          <w:numId w:val="2"/>
        </w:numPr>
      </w:pPr>
      <w:r>
        <w:t>Emotional states in shopping experience</w:t>
      </w:r>
    </w:p>
    <w:p w:rsidR="00F016D6" w:rsidRDefault="00F016D6" w:rsidP="00F016D6">
      <w:pPr>
        <w:pStyle w:val="ListParagraph"/>
        <w:numPr>
          <w:ilvl w:val="0"/>
          <w:numId w:val="2"/>
        </w:numPr>
      </w:pPr>
      <w:r>
        <w:t>Instore decision making – spontaneous shopping vs. unplanned buying</w:t>
      </w:r>
    </w:p>
    <w:p w:rsidR="00F016D6" w:rsidRDefault="00F016D6" w:rsidP="00F016D6">
      <w:pPr>
        <w:pStyle w:val="ListParagraph"/>
        <w:numPr>
          <w:ilvl w:val="0"/>
          <w:numId w:val="2"/>
        </w:numPr>
      </w:pPr>
      <w:r>
        <w:t>Retailing themes:  Landscape, marketscape, cyberspace, mindscape</w:t>
      </w:r>
      <w:bookmarkStart w:id="0" w:name="_GoBack"/>
      <w:bookmarkEnd w:id="0"/>
    </w:p>
    <w:p w:rsidR="00752B9E" w:rsidRDefault="00752B9E" w:rsidP="005D76F2">
      <w:pPr>
        <w:pStyle w:val="ListParagraph"/>
        <w:numPr>
          <w:ilvl w:val="0"/>
          <w:numId w:val="2"/>
        </w:numPr>
      </w:pPr>
      <w:r>
        <w:t>Roles in the collective decision making</w:t>
      </w:r>
    </w:p>
    <w:p w:rsidR="00752B9E" w:rsidRDefault="00752B9E" w:rsidP="005D76F2">
      <w:pPr>
        <w:pStyle w:val="ListParagraph"/>
        <w:numPr>
          <w:ilvl w:val="0"/>
          <w:numId w:val="2"/>
        </w:numPr>
      </w:pPr>
      <w:r>
        <w:t>Family types and characteristics</w:t>
      </w:r>
    </w:p>
    <w:p w:rsidR="00752B9E" w:rsidRDefault="00752B9E" w:rsidP="005D76F2">
      <w:pPr>
        <w:pStyle w:val="ListParagraph"/>
        <w:numPr>
          <w:ilvl w:val="0"/>
          <w:numId w:val="2"/>
        </w:numPr>
      </w:pPr>
      <w:r>
        <w:t>Types of extended families</w:t>
      </w:r>
    </w:p>
    <w:p w:rsidR="00752B9E" w:rsidRDefault="00752B9E" w:rsidP="005D76F2">
      <w:pPr>
        <w:pStyle w:val="ListParagraph"/>
        <w:numPr>
          <w:ilvl w:val="0"/>
          <w:numId w:val="2"/>
        </w:numPr>
      </w:pPr>
      <w:r>
        <w:t>Marketers challenge segmenting family types</w:t>
      </w:r>
    </w:p>
    <w:p w:rsidR="00BE0308" w:rsidRDefault="00752B9E" w:rsidP="00BE0308">
      <w:pPr>
        <w:pStyle w:val="ListParagraph"/>
        <w:numPr>
          <w:ilvl w:val="0"/>
          <w:numId w:val="2"/>
        </w:numPr>
      </w:pPr>
      <w:r>
        <w:t>Variables affecting the FLC (family life cycle)</w:t>
      </w:r>
    </w:p>
    <w:p w:rsidR="00BE0308" w:rsidRDefault="00BE0308" w:rsidP="00BE0308">
      <w:pPr>
        <w:pStyle w:val="ListParagraph"/>
        <w:numPr>
          <w:ilvl w:val="0"/>
          <w:numId w:val="2"/>
        </w:numPr>
      </w:pPr>
      <w:r>
        <w:t xml:space="preserve">Household decisions:  consensual and </w:t>
      </w:r>
      <w:r w:rsidR="00F016D6">
        <w:t>accommodative</w:t>
      </w:r>
    </w:p>
    <w:p w:rsidR="00F016D6" w:rsidRDefault="00F016D6" w:rsidP="00BE0308">
      <w:pPr>
        <w:pStyle w:val="ListParagraph"/>
        <w:numPr>
          <w:ilvl w:val="0"/>
          <w:numId w:val="2"/>
        </w:numPr>
      </w:pPr>
      <w:r>
        <w:t>Factors affecting decision making patterns.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Reference groups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3 ways we are influenced by reference groups (meaning)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Define Social Power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Referent, information, legitimate, expert, reward, coercive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Types of reference groups:  normative and comparative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Brand communities vs. consumer tribes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Factors predicting reference group membership (propinquity, mere exposure, group cohesiveness)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Positive vs</w:t>
      </w:r>
      <w:r w:rsidR="00DD719B">
        <w:t>.</w:t>
      </w:r>
      <w:r>
        <w:t xml:space="preserve"> negative reference groups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Antibrand communities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Deindividuation, social loafing, risky shift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Factors influencing conformity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Market mavan</w:t>
      </w:r>
    </w:p>
    <w:p w:rsidR="00F07E6E" w:rsidRDefault="00F07E6E" w:rsidP="005D76F2">
      <w:pPr>
        <w:pStyle w:val="ListParagraph"/>
        <w:numPr>
          <w:ilvl w:val="0"/>
          <w:numId w:val="2"/>
        </w:numPr>
      </w:pPr>
      <w:r>
        <w:t>Homophily</w:t>
      </w:r>
    </w:p>
    <w:p w:rsidR="00066E92" w:rsidRDefault="00F07E6E" w:rsidP="005D76F2">
      <w:pPr>
        <w:pStyle w:val="ListParagraph"/>
        <w:numPr>
          <w:ilvl w:val="0"/>
          <w:numId w:val="2"/>
        </w:numPr>
      </w:pPr>
      <w:r>
        <w:lastRenderedPageBreak/>
        <w:t>Surrogate consumer</w:t>
      </w:r>
    </w:p>
    <w:p w:rsidR="00066E92" w:rsidRDefault="00066E92" w:rsidP="005D76F2">
      <w:pPr>
        <w:pStyle w:val="ListParagraph"/>
        <w:numPr>
          <w:ilvl w:val="0"/>
          <w:numId w:val="2"/>
        </w:numPr>
      </w:pPr>
      <w:r>
        <w:t>WOM and negative WOM</w:t>
      </w:r>
    </w:p>
    <w:p w:rsidR="00066E92" w:rsidRDefault="00066E92" w:rsidP="005D76F2">
      <w:pPr>
        <w:pStyle w:val="ListParagraph"/>
        <w:numPr>
          <w:ilvl w:val="0"/>
          <w:numId w:val="2"/>
        </w:numPr>
      </w:pPr>
      <w:r>
        <w:t>Characteristics of online communities</w:t>
      </w:r>
    </w:p>
    <w:p w:rsidR="00F07E6E" w:rsidRDefault="00F07E6E" w:rsidP="00066E92">
      <w:pPr>
        <w:pStyle w:val="ListParagraph"/>
        <w:ind w:left="1080"/>
      </w:pPr>
      <w:r>
        <w:t xml:space="preserve"> </w:t>
      </w:r>
    </w:p>
    <w:p w:rsidR="005D76F2" w:rsidRDefault="005D76F2" w:rsidP="005D76F2">
      <w:pPr>
        <w:pStyle w:val="ListParagraph"/>
        <w:ind w:left="360"/>
      </w:pPr>
    </w:p>
    <w:p w:rsidR="005D76F2" w:rsidRDefault="005D76F2"/>
    <w:p w:rsidR="005D76F2" w:rsidRDefault="005D76F2"/>
    <w:sectPr w:rsidR="005D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161"/>
    <w:multiLevelType w:val="hybridMultilevel"/>
    <w:tmpl w:val="C8B66B38"/>
    <w:lvl w:ilvl="0" w:tplc="EC08A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04A7"/>
    <w:multiLevelType w:val="hybridMultilevel"/>
    <w:tmpl w:val="8B7ED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F2"/>
    <w:rsid w:val="00016609"/>
    <w:rsid w:val="000647AD"/>
    <w:rsid w:val="00064EF4"/>
    <w:rsid w:val="00066E92"/>
    <w:rsid w:val="00077031"/>
    <w:rsid w:val="00083018"/>
    <w:rsid w:val="0008309B"/>
    <w:rsid w:val="00172B5D"/>
    <w:rsid w:val="0022635D"/>
    <w:rsid w:val="00332BCF"/>
    <w:rsid w:val="00366BBA"/>
    <w:rsid w:val="00373777"/>
    <w:rsid w:val="003B4CD3"/>
    <w:rsid w:val="003F5B31"/>
    <w:rsid w:val="00434073"/>
    <w:rsid w:val="004446D0"/>
    <w:rsid w:val="0048469F"/>
    <w:rsid w:val="004A7A98"/>
    <w:rsid w:val="004F595B"/>
    <w:rsid w:val="005D76F2"/>
    <w:rsid w:val="006352BA"/>
    <w:rsid w:val="006928B2"/>
    <w:rsid w:val="006E3AD6"/>
    <w:rsid w:val="00752B9E"/>
    <w:rsid w:val="007C6AF6"/>
    <w:rsid w:val="007D5568"/>
    <w:rsid w:val="007F6BE3"/>
    <w:rsid w:val="008A3084"/>
    <w:rsid w:val="0092033D"/>
    <w:rsid w:val="00A259D7"/>
    <w:rsid w:val="00A32D10"/>
    <w:rsid w:val="00A63181"/>
    <w:rsid w:val="00AC06E8"/>
    <w:rsid w:val="00AC3AC2"/>
    <w:rsid w:val="00B84A91"/>
    <w:rsid w:val="00BE0308"/>
    <w:rsid w:val="00D17D91"/>
    <w:rsid w:val="00D2146D"/>
    <w:rsid w:val="00D5661C"/>
    <w:rsid w:val="00D643A5"/>
    <w:rsid w:val="00D770EF"/>
    <w:rsid w:val="00DD719B"/>
    <w:rsid w:val="00F016D6"/>
    <w:rsid w:val="00F07E6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2013-04-13T18:22:00Z</dcterms:created>
  <dcterms:modified xsi:type="dcterms:W3CDTF">2015-07-20T21:32:00Z</dcterms:modified>
</cp:coreProperties>
</file>